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E76CD7" w:rsidP="00A735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1276" w:type="dxa"/>
          </w:tcPr>
          <w:p w:rsidR="0021308E" w:rsidRPr="00D4254E" w:rsidRDefault="0021308E" w:rsidP="005613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561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E76CD7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395CA0">
        <w:rPr>
          <w:rFonts w:ascii="Times New Roman" w:hAnsi="Times New Roman" w:cs="Times New Roman"/>
          <w:b/>
          <w:i/>
          <w:sz w:val="28"/>
          <w:szCs w:val="28"/>
        </w:rPr>
        <w:t>додаткові обсяги робіт</w:t>
      </w:r>
    </w:p>
    <w:p w:rsidR="0016712D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</w:t>
      </w:r>
      <w:r w:rsidR="00395CA0">
        <w:rPr>
          <w:sz w:val="28"/>
          <w:szCs w:val="28"/>
        </w:rPr>
        <w:t xml:space="preserve"> </w:t>
      </w:r>
      <w:r w:rsidR="00395CA0" w:rsidRPr="00395CA0">
        <w:rPr>
          <w:sz w:val="28"/>
          <w:szCs w:val="28"/>
        </w:rPr>
        <w:t xml:space="preserve">додаткових обсягів робіт, не передбачених затвердженою </w:t>
      </w:r>
      <w:proofErr w:type="spellStart"/>
      <w:r w:rsidR="00393DB9">
        <w:rPr>
          <w:sz w:val="28"/>
          <w:szCs w:val="28"/>
        </w:rPr>
        <w:t>проєктною</w:t>
      </w:r>
      <w:proofErr w:type="spellEnd"/>
      <w:r w:rsidR="00395CA0" w:rsidRPr="00395CA0">
        <w:rPr>
          <w:sz w:val="28"/>
          <w:szCs w:val="28"/>
        </w:rPr>
        <w:t xml:space="preserve"> документацією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 xml:space="preserve">які виникатимуть під час </w:t>
      </w:r>
      <w:r w:rsidR="00BE2ECF">
        <w:rPr>
          <w:sz w:val="28"/>
          <w:szCs w:val="28"/>
        </w:rPr>
        <w:t xml:space="preserve">будівельно-монтажних робіт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395CA0" w:rsidRDefault="0021308E" w:rsidP="00395CA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2748BC">
        <w:rPr>
          <w:sz w:val="28"/>
          <w:szCs w:val="28"/>
        </w:rPr>
        <w:t>Залуч</w:t>
      </w:r>
      <w:r w:rsidR="00395CA0" w:rsidRPr="002748BC">
        <w:rPr>
          <w:sz w:val="28"/>
          <w:szCs w:val="28"/>
        </w:rPr>
        <w:t>а</w:t>
      </w:r>
      <w:r w:rsidRPr="002748BC">
        <w:rPr>
          <w:sz w:val="28"/>
          <w:szCs w:val="28"/>
        </w:rPr>
        <w:t xml:space="preserve">ти до </w:t>
      </w:r>
      <w:r w:rsidR="00395CA0" w:rsidRPr="002748BC">
        <w:rPr>
          <w:sz w:val="28"/>
          <w:szCs w:val="28"/>
        </w:rPr>
        <w:t xml:space="preserve">розгляду питань пов’язаних з виникненням </w:t>
      </w:r>
      <w:r w:rsidR="00395CA0" w:rsidRPr="00395CA0">
        <w:rPr>
          <w:sz w:val="28"/>
          <w:szCs w:val="28"/>
        </w:rPr>
        <w:t>додаткових обсягів робіт</w:t>
      </w:r>
      <w:r w:rsidR="00395CA0" w:rsidRPr="002748BC">
        <w:rPr>
          <w:sz w:val="28"/>
          <w:szCs w:val="28"/>
        </w:rPr>
        <w:t xml:space="preserve"> відповідальну особу за здійснення технічного нагляду, відповідальну особу за здійснення авторського нагляду</w:t>
      </w:r>
      <w:r w:rsidR="002748BC" w:rsidRPr="002748BC">
        <w:rPr>
          <w:sz w:val="28"/>
          <w:szCs w:val="28"/>
        </w:rPr>
        <w:t>, представника підрядної організації та за необхідності інших кваліфікованих спеціалістів</w:t>
      </w:r>
      <w:r w:rsidR="002748BC">
        <w:rPr>
          <w:sz w:val="28"/>
          <w:szCs w:val="28"/>
        </w:rPr>
        <w:t>.</w:t>
      </w:r>
    </w:p>
    <w:p w:rsidR="002748BC" w:rsidRPr="002748BC" w:rsidRDefault="002748BC" w:rsidP="002748BC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sz w:val="28"/>
          <w:szCs w:val="28"/>
        </w:rPr>
      </w:pPr>
    </w:p>
    <w:p w:rsidR="0021308E" w:rsidRDefault="002748BC" w:rsidP="00395CA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</w:t>
      </w:r>
      <w:r>
        <w:rPr>
          <w:sz w:val="28"/>
          <w:szCs w:val="28"/>
        </w:rPr>
        <w:t>м</w:t>
      </w:r>
      <w:r w:rsidRPr="00D425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проєктних</w:t>
      </w:r>
      <w:proofErr w:type="spellEnd"/>
      <w:r>
        <w:rPr>
          <w:sz w:val="28"/>
          <w:szCs w:val="28"/>
        </w:rPr>
        <w:t xml:space="preserve"> рішень с</w:t>
      </w:r>
      <w:r w:rsidRPr="00395CA0">
        <w:rPr>
          <w:sz w:val="28"/>
          <w:szCs w:val="28"/>
        </w:rPr>
        <w:t>клада</w:t>
      </w:r>
      <w:r>
        <w:rPr>
          <w:sz w:val="28"/>
          <w:szCs w:val="28"/>
        </w:rPr>
        <w:t>ти</w:t>
      </w:r>
      <w:r w:rsidRPr="00395CA0">
        <w:rPr>
          <w:sz w:val="28"/>
          <w:szCs w:val="28"/>
        </w:rPr>
        <w:t xml:space="preserve"> відповідний акт з визначенням цих обсягів </w:t>
      </w:r>
      <w:r w:rsidR="00393DB9">
        <w:rPr>
          <w:sz w:val="28"/>
          <w:szCs w:val="28"/>
        </w:rPr>
        <w:t>робіт.</w:t>
      </w:r>
      <w:r w:rsidRPr="00395CA0">
        <w:rPr>
          <w:sz w:val="28"/>
          <w:szCs w:val="28"/>
        </w:rPr>
        <w:t xml:space="preserve"> </w:t>
      </w:r>
    </w:p>
    <w:p w:rsidR="00393DB9" w:rsidRDefault="00393DB9" w:rsidP="00393DB9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sz w:val="28"/>
          <w:szCs w:val="28"/>
        </w:rPr>
      </w:pPr>
    </w:p>
    <w:p w:rsidR="00393DB9" w:rsidRPr="00D4254E" w:rsidRDefault="00393DB9" w:rsidP="00395CA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Акт з визначеним обсягом додаткових робіт погоджений </w:t>
      </w:r>
      <w:r w:rsidRPr="002748BC">
        <w:rPr>
          <w:sz w:val="28"/>
          <w:szCs w:val="28"/>
        </w:rPr>
        <w:t>відповідальн</w:t>
      </w:r>
      <w:r>
        <w:rPr>
          <w:sz w:val="28"/>
          <w:szCs w:val="28"/>
        </w:rPr>
        <w:t>ою</w:t>
      </w:r>
      <w:r w:rsidRPr="002748BC">
        <w:rPr>
          <w:sz w:val="28"/>
          <w:szCs w:val="28"/>
        </w:rPr>
        <w:t xml:space="preserve"> особ</w:t>
      </w:r>
      <w:r>
        <w:rPr>
          <w:sz w:val="28"/>
          <w:szCs w:val="28"/>
        </w:rPr>
        <w:t>ою</w:t>
      </w:r>
      <w:r w:rsidRPr="002748BC">
        <w:rPr>
          <w:sz w:val="28"/>
          <w:szCs w:val="28"/>
        </w:rPr>
        <w:t xml:space="preserve"> за здійснення технічного нагляду, відповідальн</w:t>
      </w:r>
      <w:r>
        <w:rPr>
          <w:sz w:val="28"/>
          <w:szCs w:val="28"/>
        </w:rPr>
        <w:t>ою</w:t>
      </w:r>
      <w:r w:rsidRPr="002748BC">
        <w:rPr>
          <w:sz w:val="28"/>
          <w:szCs w:val="28"/>
        </w:rPr>
        <w:t xml:space="preserve"> особ</w:t>
      </w:r>
      <w:r>
        <w:rPr>
          <w:sz w:val="28"/>
          <w:szCs w:val="28"/>
        </w:rPr>
        <w:t>ою</w:t>
      </w:r>
      <w:r w:rsidRPr="002748BC">
        <w:rPr>
          <w:sz w:val="28"/>
          <w:szCs w:val="28"/>
        </w:rPr>
        <w:t xml:space="preserve"> за здійснення авторського нагляду, представник</w:t>
      </w:r>
      <w:r>
        <w:rPr>
          <w:sz w:val="28"/>
          <w:szCs w:val="28"/>
        </w:rPr>
        <w:t>ом</w:t>
      </w:r>
      <w:r w:rsidRPr="002748BC">
        <w:rPr>
          <w:sz w:val="28"/>
          <w:szCs w:val="28"/>
        </w:rPr>
        <w:t xml:space="preserve"> підрядної організації та за необхідності інши</w:t>
      </w:r>
      <w:r>
        <w:rPr>
          <w:sz w:val="28"/>
          <w:szCs w:val="28"/>
        </w:rPr>
        <w:t>ми</w:t>
      </w:r>
      <w:r w:rsidRPr="002748BC">
        <w:rPr>
          <w:sz w:val="28"/>
          <w:szCs w:val="28"/>
        </w:rPr>
        <w:t xml:space="preserve"> кваліфіковани</w:t>
      </w:r>
      <w:r>
        <w:rPr>
          <w:sz w:val="28"/>
          <w:szCs w:val="28"/>
        </w:rPr>
        <w:t>ми</w:t>
      </w:r>
      <w:r w:rsidRPr="002748BC">
        <w:rPr>
          <w:sz w:val="28"/>
          <w:szCs w:val="28"/>
        </w:rPr>
        <w:t xml:space="preserve"> спеціаліст</w:t>
      </w:r>
      <w:r>
        <w:rPr>
          <w:sz w:val="28"/>
          <w:szCs w:val="28"/>
        </w:rPr>
        <w:t xml:space="preserve">ами </w:t>
      </w:r>
      <w:r w:rsidRPr="00D4254E">
        <w:rPr>
          <w:sz w:val="28"/>
          <w:szCs w:val="28"/>
        </w:rPr>
        <w:t>подавати</w:t>
      </w:r>
      <w:r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на розгляд та затвердження</w:t>
      </w:r>
      <w:r w:rsidR="00193CFC">
        <w:rPr>
          <w:sz w:val="28"/>
          <w:szCs w:val="28"/>
        </w:rPr>
        <w:t>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1308E" w:rsidRPr="00D4254E" w:rsidTr="00B176B1">
        <w:tc>
          <w:tcPr>
            <w:tcW w:w="4915" w:type="dxa"/>
          </w:tcPr>
          <w:p w:rsidR="0021308E" w:rsidRPr="00D4254E" w:rsidRDefault="005613E7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начальника</w:t>
            </w:r>
          </w:p>
        </w:tc>
        <w:tc>
          <w:tcPr>
            <w:tcW w:w="4915" w:type="dxa"/>
          </w:tcPr>
          <w:p w:rsidR="0021308E" w:rsidRPr="00D4254E" w:rsidRDefault="005613E7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Наталія КОВАЛЬЧУК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D1C1D" w:rsidRDefault="00CD1C1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D1C1D" w:rsidRDefault="00CD1C1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D1C1D" w:rsidRDefault="00CD1C1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D1C1D" w:rsidRDefault="00CD1C1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D1C1D" w:rsidRPr="00D4254E" w:rsidRDefault="00CD1C1D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002C3"/>
    <w:rsid w:val="00080DDF"/>
    <w:rsid w:val="00094ADE"/>
    <w:rsid w:val="000E425F"/>
    <w:rsid w:val="000E7D33"/>
    <w:rsid w:val="001640A3"/>
    <w:rsid w:val="0016712D"/>
    <w:rsid w:val="00192FE7"/>
    <w:rsid w:val="00193CFC"/>
    <w:rsid w:val="001E13C4"/>
    <w:rsid w:val="001F6296"/>
    <w:rsid w:val="00200477"/>
    <w:rsid w:val="0021270C"/>
    <w:rsid w:val="0021308E"/>
    <w:rsid w:val="00213CAE"/>
    <w:rsid w:val="002206CC"/>
    <w:rsid w:val="0022441E"/>
    <w:rsid w:val="00246E90"/>
    <w:rsid w:val="002748BC"/>
    <w:rsid w:val="002A1407"/>
    <w:rsid w:val="002A7A6F"/>
    <w:rsid w:val="002D52F5"/>
    <w:rsid w:val="002F2D10"/>
    <w:rsid w:val="002F2FAB"/>
    <w:rsid w:val="002F4937"/>
    <w:rsid w:val="0030448E"/>
    <w:rsid w:val="00316FAC"/>
    <w:rsid w:val="00330679"/>
    <w:rsid w:val="003365AB"/>
    <w:rsid w:val="00371C84"/>
    <w:rsid w:val="00393DB9"/>
    <w:rsid w:val="00395CA0"/>
    <w:rsid w:val="003A3B86"/>
    <w:rsid w:val="003C2742"/>
    <w:rsid w:val="00424D5B"/>
    <w:rsid w:val="00444934"/>
    <w:rsid w:val="0047176D"/>
    <w:rsid w:val="0048072D"/>
    <w:rsid w:val="004A5150"/>
    <w:rsid w:val="004B2331"/>
    <w:rsid w:val="0052052B"/>
    <w:rsid w:val="00537A6F"/>
    <w:rsid w:val="00542621"/>
    <w:rsid w:val="00546837"/>
    <w:rsid w:val="005613E7"/>
    <w:rsid w:val="00580AC0"/>
    <w:rsid w:val="005B29B8"/>
    <w:rsid w:val="005B45F1"/>
    <w:rsid w:val="005D1FB3"/>
    <w:rsid w:val="005D4B61"/>
    <w:rsid w:val="006053D1"/>
    <w:rsid w:val="00631A24"/>
    <w:rsid w:val="00645B30"/>
    <w:rsid w:val="006D33BB"/>
    <w:rsid w:val="006D5DD0"/>
    <w:rsid w:val="0072425D"/>
    <w:rsid w:val="00736F06"/>
    <w:rsid w:val="0077295F"/>
    <w:rsid w:val="007A60AE"/>
    <w:rsid w:val="007A63FA"/>
    <w:rsid w:val="007C3B5B"/>
    <w:rsid w:val="007D09CA"/>
    <w:rsid w:val="007F35D1"/>
    <w:rsid w:val="007F3639"/>
    <w:rsid w:val="007F6BDA"/>
    <w:rsid w:val="00824B6B"/>
    <w:rsid w:val="0082769C"/>
    <w:rsid w:val="00842C89"/>
    <w:rsid w:val="00851E26"/>
    <w:rsid w:val="008771F0"/>
    <w:rsid w:val="008A178F"/>
    <w:rsid w:val="008D5F33"/>
    <w:rsid w:val="00917228"/>
    <w:rsid w:val="009174D6"/>
    <w:rsid w:val="009234FD"/>
    <w:rsid w:val="009E21FA"/>
    <w:rsid w:val="009F3037"/>
    <w:rsid w:val="009F58D6"/>
    <w:rsid w:val="00A339A9"/>
    <w:rsid w:val="00A71479"/>
    <w:rsid w:val="00A7350D"/>
    <w:rsid w:val="00AE0CB4"/>
    <w:rsid w:val="00AE5942"/>
    <w:rsid w:val="00B10787"/>
    <w:rsid w:val="00B176B1"/>
    <w:rsid w:val="00B25351"/>
    <w:rsid w:val="00B46A52"/>
    <w:rsid w:val="00B55D6E"/>
    <w:rsid w:val="00B86734"/>
    <w:rsid w:val="00BA21D1"/>
    <w:rsid w:val="00BA3DFF"/>
    <w:rsid w:val="00BE2ECF"/>
    <w:rsid w:val="00BF0710"/>
    <w:rsid w:val="00C150CE"/>
    <w:rsid w:val="00C2220F"/>
    <w:rsid w:val="00C32ED7"/>
    <w:rsid w:val="00C3311F"/>
    <w:rsid w:val="00C338F4"/>
    <w:rsid w:val="00C40F60"/>
    <w:rsid w:val="00C436AB"/>
    <w:rsid w:val="00CB05CE"/>
    <w:rsid w:val="00CD1C1D"/>
    <w:rsid w:val="00CF44E1"/>
    <w:rsid w:val="00D12A66"/>
    <w:rsid w:val="00D4254E"/>
    <w:rsid w:val="00D96727"/>
    <w:rsid w:val="00DB2581"/>
    <w:rsid w:val="00DC6520"/>
    <w:rsid w:val="00DD6C3A"/>
    <w:rsid w:val="00DE4CDA"/>
    <w:rsid w:val="00E04D13"/>
    <w:rsid w:val="00E67014"/>
    <w:rsid w:val="00E72285"/>
    <w:rsid w:val="00E76CD7"/>
    <w:rsid w:val="00E771E8"/>
    <w:rsid w:val="00EB5F1C"/>
    <w:rsid w:val="00ED3B66"/>
    <w:rsid w:val="00ED3EF5"/>
    <w:rsid w:val="00EF0477"/>
    <w:rsid w:val="00F1063E"/>
    <w:rsid w:val="00F23CAF"/>
    <w:rsid w:val="00F3146D"/>
    <w:rsid w:val="00FA0923"/>
    <w:rsid w:val="00FA1D72"/>
    <w:rsid w:val="00FB77AE"/>
    <w:rsid w:val="00FC3641"/>
    <w:rsid w:val="00FC47CC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  <w:style w:type="paragraph" w:styleId="HTML">
    <w:name w:val="HTML Preformatted"/>
    <w:basedOn w:val="a"/>
    <w:link w:val="HTML0"/>
    <w:uiPriority w:val="99"/>
    <w:semiHidden/>
    <w:unhideWhenUsed/>
    <w:rsid w:val="00395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5CA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2020-04-29T11:42:00Z</cp:lastPrinted>
  <dcterms:created xsi:type="dcterms:W3CDTF">2019-09-27T06:58:00Z</dcterms:created>
  <dcterms:modified xsi:type="dcterms:W3CDTF">2020-04-29T12:56:00Z</dcterms:modified>
</cp:coreProperties>
</file>